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B5" w:rsidRPr="00D12E37" w:rsidRDefault="000B31B5" w:rsidP="006B69CC">
      <w:pPr>
        <w:pStyle w:val="NormalWeb"/>
        <w:spacing w:before="150" w:beforeAutospacing="0" w:after="150" w:afterAutospacing="0" w:line="285" w:lineRule="atLeast"/>
        <w:jc w:val="right"/>
        <w:outlineLvl w:val="2"/>
        <w:rPr>
          <w:rStyle w:val="apple-style-span"/>
          <w:rFonts w:ascii="Sakkal Majalla" w:hAnsi="Sakkal Majalla" w:cs="Sakkal Majalla"/>
          <w:sz w:val="28"/>
          <w:szCs w:val="28"/>
          <w:rtl/>
          <w:lang w:bidi="ar-EG"/>
        </w:rPr>
      </w:pPr>
      <w:bookmarkStart w:id="0" w:name="_GoBack"/>
      <w:r w:rsidRPr="000B31B5">
        <w:rPr>
          <w:noProof/>
          <w:sz w:val="28"/>
          <w:szCs w:val="28"/>
          <w:rtl/>
        </w:rPr>
        <w:pict>
          <v:rect id="Rectangle 4" o:spid="_x0000_s1026" style="position:absolute;left:0;text-align:left;margin-left:440.95pt;margin-top:27.75pt;width:132.2pt;height:759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" o:allowincell="f" strokecolor="#000b76" strokeweight="2.5pt">
            <v:stroke dashstyle="1 1" endcap="round"/>
            <v:shadow on="t" color="#868686" opacity=".5" offset="-6pt,-6pt"/>
            <v:textbox inset="21.6pt,21.6pt,21.6pt,21.6pt">
              <w:txbxContent>
                <w:p w:rsidR="00CB5AB5" w:rsidRDefault="00CB5AB5" w:rsidP="00CB5AB5">
                  <w:pPr>
                    <w:jc w:val="center"/>
                    <w:rPr>
                      <w:rFonts w:cs="Traditional Arabic"/>
                      <w:b/>
                      <w:bCs/>
                      <w:color w:val="002060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EG"/>
                    </w:rPr>
                    <w:t>المركز المصري للإصلاح المدنى والتشريعي</w:t>
                  </w:r>
                </w:p>
                <w:p w:rsidR="00CB5AB5" w:rsidRPr="005458F2" w:rsidRDefault="00CB5AB5" w:rsidP="00CB5AB5">
                  <w:pPr>
                    <w:jc w:val="center"/>
                    <w:rPr>
                      <w:rFonts w:cs="Traditional Arabic"/>
                      <w:b/>
                      <w:bCs/>
                      <w:color w:val="002060"/>
                      <w:sz w:val="28"/>
                      <w:szCs w:val="28"/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jc w:val="center"/>
                    <w:rPr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ascii="Arial" w:hAnsi="Arial" w:cs="Arial"/>
                      <w:noProof/>
                      <w:sz w:val="25"/>
                      <w:szCs w:val="25"/>
                    </w:rPr>
                    <w:drawing>
                      <wp:inline distT="0" distB="0" distL="0" distR="0">
                        <wp:extent cx="1133475" cy="1133475"/>
                        <wp:effectExtent l="0" t="0" r="9525" b="9525"/>
                        <wp:docPr id="3" name="Picture 3" descr="اللوجو النهائ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اللوجو النهائ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AB5" w:rsidRPr="00886568" w:rsidRDefault="00CB5AB5" w:rsidP="00CB5AB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  <w:p w:rsidR="00CB5AB5" w:rsidRPr="00E04A3F" w:rsidRDefault="00CB5AB5" w:rsidP="00CB5AB5">
                  <w:pPr>
                    <w:pBdr>
                      <w:bottom w:val="single" w:sz="6" w:space="1" w:color="auto"/>
                    </w:pBdr>
                    <w:jc w:val="center"/>
                  </w:pPr>
                </w:p>
                <w:p w:rsidR="00CB5AB5" w:rsidRDefault="00CB5AB5" w:rsidP="00CB5AB5">
                  <w:pPr>
                    <w:jc w:val="center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CB5AB5" w:rsidRPr="005E1F72" w:rsidRDefault="00CB5AB5" w:rsidP="00CB5AB5">
                  <w:pPr>
                    <w:jc w:val="center"/>
                    <w:rPr>
                      <w:rFonts w:cs="Traditional Arabic"/>
                      <w:b/>
                      <w:bCs/>
                      <w:color w:val="002060"/>
                      <w:rtl/>
                      <w:lang w:bidi="ar-EG"/>
                    </w:rPr>
                  </w:pPr>
                  <w:r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تا</w:t>
                  </w:r>
                  <w:r w:rsidRPr="005E1F72"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ب</w:t>
                  </w:r>
                  <w:r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ع</w:t>
                  </w:r>
                  <w:r w:rsidRPr="005E1F72"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و</w:t>
                  </w:r>
                  <w:r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ناعلىفيسبو</w:t>
                  </w:r>
                  <w:r w:rsidRPr="005E1F72"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ك</w:t>
                  </w:r>
                </w:p>
                <w:p w:rsidR="00CB5AB5" w:rsidRDefault="00CB5AB5" w:rsidP="00CB5AB5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95350" cy="342900"/>
                        <wp:effectExtent l="0" t="0" r="0" b="0"/>
                        <wp:docPr id="2" name="Picture 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AB5" w:rsidRPr="006A095D" w:rsidRDefault="00CB5AB5" w:rsidP="00CB5AB5">
                  <w:pPr>
                    <w:jc w:val="center"/>
                    <w:rPr>
                      <w:rFonts w:eastAsia="Batang" w:cs="Traditional Arabic"/>
                      <w:b/>
                      <w:bCs/>
                      <w:color w:val="002060"/>
                      <w:rtl/>
                      <w:lang w:bidi="ar-EG"/>
                    </w:rPr>
                  </w:pPr>
                  <w:r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تا</w:t>
                  </w:r>
                  <w:r w:rsidRPr="005E1F72"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ب</w:t>
                  </w:r>
                  <w:r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ع</w:t>
                  </w:r>
                  <w:r w:rsidRPr="005E1F72"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و</w:t>
                  </w:r>
                  <w:r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ناعلى</w:t>
                  </w:r>
                  <w:r w:rsidRPr="00997EBF">
                    <w:rPr>
                      <w:rFonts w:cs="Traditional Arabic" w:hint="eastAsia"/>
                      <w:b/>
                      <w:bCs/>
                      <w:color w:val="002060"/>
                      <w:rtl/>
                      <w:lang w:bidi="ar-EG"/>
                    </w:rPr>
                    <w:t>تويتر</w:t>
                  </w:r>
                </w:p>
                <w:p w:rsidR="00CB5AB5" w:rsidRDefault="00CB5AB5" w:rsidP="00CB5AB5">
                  <w:pPr>
                    <w:jc w:val="center"/>
                  </w:pPr>
                  <w:r>
                    <w:rPr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647700" cy="457200"/>
                        <wp:effectExtent l="0" t="0" r="0" b="0"/>
                        <wp:docPr id="1" name="Picture 1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AB5" w:rsidRPr="006A095D" w:rsidRDefault="00CB5AB5" w:rsidP="00CB5AB5">
                  <w:pPr>
                    <w:jc w:val="center"/>
                    <w:rPr>
                      <w:b/>
                      <w:bCs/>
                      <w:color w:val="00008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rtl/>
                      <w:lang w:bidi="ar-EG"/>
                    </w:rPr>
                    <w:t>تابعونا أيضا على</w:t>
                  </w:r>
                </w:p>
                <w:p w:rsidR="00CB5AB5" w:rsidRDefault="000B31B5" w:rsidP="00CB5AB5">
                  <w:pPr>
                    <w:pStyle w:val="Heading4"/>
                    <w:shd w:val="clear" w:color="auto" w:fill="FFFFFF"/>
                    <w:spacing w:before="0" w:beforeAutospacing="0" w:after="0" w:afterAutospacing="0"/>
                    <w:ind w:left="-360" w:right="-240"/>
                    <w:jc w:val="center"/>
                  </w:pPr>
                  <w:hyperlink r:id="rId11" w:history="1">
                    <w:r w:rsidR="00CB5AB5" w:rsidRPr="00CA5FF5">
                      <w:rPr>
                        <w:rStyle w:val="Hyperlink"/>
                        <w:rFonts w:ascii="Arial" w:hAnsi="Arial" w:cs="Arial"/>
                        <w:sz w:val="25"/>
                        <w:szCs w:val="25"/>
                      </w:rPr>
                      <w:t>http://ecclr.com</w:t>
                    </w:r>
                  </w:hyperlink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6B69CC" w:rsidRDefault="006B69CC" w:rsidP="00CB5AB5">
                  <w:pPr>
                    <w:rPr>
                      <w:lang w:bidi="ar-EG"/>
                    </w:rPr>
                  </w:pPr>
                </w:p>
                <w:tbl>
                  <w:tblPr>
                    <w:bidiVisual/>
                    <w:tblW w:w="2126" w:type="dxa"/>
                    <w:tblBorders>
                      <w:top w:val="single" w:sz="12" w:space="0" w:color="008000"/>
                      <w:left w:val="single" w:sz="6" w:space="0" w:color="008000"/>
                      <w:bottom w:val="single" w:sz="12" w:space="0" w:color="008000"/>
                      <w:right w:val="single" w:sz="6" w:space="0" w:color="008000"/>
                      <w:insideH w:val="single" w:sz="6" w:space="0" w:color="000000"/>
                    </w:tblBorders>
                    <w:tblLook w:val="0000"/>
                  </w:tblPr>
                  <w:tblGrid>
                    <w:gridCol w:w="2126"/>
                  </w:tblGrid>
                  <w:tr w:rsidR="00CB5AB5" w:rsidRPr="00CB5AB5" w:rsidTr="006B69CC">
                    <w:trPr>
                      <w:trHeight w:val="1170"/>
                    </w:trPr>
                    <w:tc>
                      <w:tcPr>
                        <w:tcW w:w="2126" w:type="dxa"/>
                        <w:shd w:val="pct20" w:color="000000" w:fill="FFFFFF"/>
                      </w:tcPr>
                      <w:p w:rsidR="00CB5AB5" w:rsidRPr="00CB5AB5" w:rsidRDefault="00CB5AB5" w:rsidP="00CB5AB5">
                        <w:pPr>
                          <w:rPr>
                            <w:b/>
                            <w:bCs/>
                            <w:rtl/>
                            <w:lang w:bidi="ar-EG"/>
                          </w:rPr>
                        </w:pPr>
                        <w:r w:rsidRPr="00CB5AB5">
                          <w:rPr>
                            <w:b/>
                            <w:bCs/>
                            <w:rtl/>
                            <w:lang w:bidi="ar-EG"/>
                          </w:rPr>
                          <w:t>للحصول على مواد المركز الإعلامية وأفلام المناصرة والبيانات والتقارير ذات الصلة يرجى الاتصال على :-</w:t>
                        </w:r>
                      </w:p>
                      <w:p w:rsidR="00CB5AB5" w:rsidRPr="00CB5AB5" w:rsidRDefault="00CB5AB5" w:rsidP="00CB5AB5">
                        <w:pPr>
                          <w:rPr>
                            <w:b/>
                            <w:bCs/>
                            <w:rtl/>
                            <w:lang w:bidi="ar-EG"/>
                          </w:rPr>
                        </w:pPr>
                        <w:r w:rsidRPr="00CB5AB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0235716513   </w:t>
                        </w:r>
                      </w:p>
                    </w:tc>
                  </w:tr>
                </w:tbl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rtl/>
                      <w:lang w:bidi="ar-EG"/>
                    </w:rPr>
                  </w:pPr>
                </w:p>
                <w:p w:rsidR="00CB5AB5" w:rsidRPr="00886568" w:rsidRDefault="00CB5AB5" w:rsidP="00CB5AB5">
                  <w:pPr>
                    <w:rPr>
                      <w:rFonts w:ascii="Arial" w:hAnsi="Arial" w:cs="Arial"/>
                      <w:rtl/>
                      <w:lang w:bidi="ar-EG"/>
                    </w:rPr>
                  </w:pPr>
                </w:p>
                <w:p w:rsidR="00CB5AB5" w:rsidRDefault="00CB5AB5" w:rsidP="00CB5AB5">
                  <w:pPr>
                    <w:rPr>
                      <w:lang w:bidi="ar-EG"/>
                    </w:rPr>
                  </w:pPr>
                </w:p>
                <w:p w:rsidR="00CB5AB5" w:rsidRPr="003502EA" w:rsidRDefault="00CB5AB5" w:rsidP="00CB5AB5">
                  <w:pPr>
                    <w:jc w:val="center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6B69CC" w:rsidRPr="00D12E37">
        <w:rPr>
          <w:rStyle w:val="apple-style-span"/>
          <w:rFonts w:ascii="Sakkal Majalla" w:hAnsi="Sakkal Majalla" w:cs="Sakkal Majalla" w:hint="cs"/>
          <w:sz w:val="28"/>
          <w:szCs w:val="28"/>
          <w:rtl/>
          <w:lang w:bidi="ar-EG"/>
        </w:rPr>
        <w:t>القاهرة 18/2/2014</w:t>
      </w:r>
      <w:bookmarkEnd w:id="0"/>
    </w:p>
    <w:p w:rsidR="003C09E4" w:rsidRPr="003C09E4" w:rsidRDefault="003C09E4" w:rsidP="003C09E4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EG"/>
        </w:rPr>
      </w:pPr>
      <w:r w:rsidRPr="003C09E4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EG"/>
        </w:rPr>
        <w:t>مصر قبل الثورة هي مصر بعد الثورة</w:t>
      </w:r>
    </w:p>
    <w:p w:rsidR="003C09E4" w:rsidRPr="003C09E4" w:rsidRDefault="003C09E4" w:rsidP="003C09E4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EG"/>
        </w:rPr>
      </w:pPr>
      <w:r w:rsidRPr="003C09E4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EG"/>
        </w:rPr>
        <w:t>الفي أسرة بعزبة النخل تواجه التشرد</w:t>
      </w:r>
    </w:p>
    <w:p w:rsidR="003C09E4" w:rsidRPr="003C09E4" w:rsidRDefault="003C09E4" w:rsidP="00160127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تناولت الصحف والمواقع </w:t>
      </w:r>
      <w:r w:rsidR="0016012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الإخبارية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في ال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>يام الماضية قيام أجهزة الدخلية بتعذيب النشطاء داخل السجون وهو ما ي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وحي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إلي عودة الشرطة و أجهزة الدوله إلي سياستها </w:t>
      </w:r>
      <w:r w:rsidR="0016012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المتمثلة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في 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نتهاك 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صارخ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للاتفاقيات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الدولية الخاصة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ب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حقوق الانسان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وكذلك </w:t>
      </w:r>
      <w:r w:rsidR="00160127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>مخالفة النصوص والمبادئ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القانونية المستقرة في التشريعات المحلية والدولي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ة،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وهو ما </w:t>
      </w:r>
      <w:r w:rsidR="00D12E37"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قد 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>يتقبله البعض لل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سف 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تحت ذريعة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محاربة </w:t>
      </w:r>
      <w:r w:rsidR="0016012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الإرهاب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والحاجة القومية لبعض </w:t>
      </w:r>
      <w:r w:rsidR="0016012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الإجراءات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الاستثنائية  لمواجه</w:t>
      </w:r>
      <w:r w:rsidR="0016012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 xml:space="preserve"> تلك </w:t>
      </w:r>
      <w:r w:rsidR="0016012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الأزمة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.</w:t>
      </w:r>
    </w:p>
    <w:p w:rsidR="003C09E4" w:rsidRPr="003C09E4" w:rsidRDefault="003C09E4" w:rsidP="009C65C7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إلا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ن ما حدث اليوم في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منطقة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عزبة النخل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 شرق القاهرة،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يؤكد ب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شكل جلي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أن </w:t>
      </w:r>
      <w:r w:rsidR="00F4275D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سياسة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4275D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الدولة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في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تقديم الحلول </w:t>
      </w:r>
      <w:r w:rsidR="00F4275D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الأمنية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ل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معالجة القضايا الاجتماعية 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>–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وهو ال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مر الذي كان محل نقد شديد من جانب منظمات المجتمع المدني قبل الثورة 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  <w:t>–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قد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صبح هو الحل ال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مثل من جانب </w:t>
      </w:r>
      <w:r w:rsidR="00F4275D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الدولة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لم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واجهة تلك المشكلات.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فقد أستيقظ سكان منطقه عشش الترعة التوفيقية بعزبة النخل والذي يقدر عددهم بحوالي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لفي أسرة وفقا لتقديرات السكان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على عدد كبير من سيارات ال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من المركزي وكذلك عدد من السيارات التى تحمل </w:t>
      </w:r>
      <w:r w:rsidR="00F4275D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أفراد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شرطة ملثم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Pr="003C09E4">
        <w:rPr>
          <w:rFonts w:asciiTheme="majorBidi" w:eastAsiaTheme="minorHAnsi" w:hAnsiTheme="majorBidi" w:cstheme="majorBidi"/>
          <w:b/>
          <w:bCs/>
          <w:sz w:val="28"/>
          <w:szCs w:val="28"/>
          <w:lang w:bidi="ar-EG"/>
        </w:rPr>
        <w:t xml:space="preserve">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قوات </w:t>
      </w:r>
      <w:r w:rsidR="00F4275D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خاصة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)،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وعدد من اللودارات وسيارات جمع المخلفات التابعة للمحافظة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يقومون بإ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خلا</w:t>
      </w:r>
      <w:r w:rsidR="00F4275D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ئهم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ونقل منقولاتهم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بسيارات جمع المخلفات وتسليم عدد محدود منهم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خطابات تخصيص لشقق بمنطقة </w:t>
      </w:r>
      <w:r w:rsidR="009C65C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المؤسسة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وفور اعتراض </w:t>
      </w:r>
      <w:r w:rsidR="009C65C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الأهالي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على تلك الخطابات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لكونها لا تغطي </w:t>
      </w:r>
      <w:r w:rsidR="009C65C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أعداد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جميع الأسر التي تقطن </w:t>
      </w:r>
      <w:r w:rsidR="009C65C7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بالمنطقة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فضلا عن أن تلك الخطابات 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سُلمت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ل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مجموعة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كبير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من الأسر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بمعدل خطاب واحد لكل خمس أسر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 وهو ما يعني شقة واحد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لخمس</w:t>
      </w:r>
      <w:r w:rsidR="009C65C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 أسر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3C09E4" w:rsidRPr="003C09E4" w:rsidRDefault="003C09E4" w:rsidP="000245C0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proofErr w:type="gramStart"/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وعلى</w:t>
      </w:r>
      <w:proofErr w:type="gramEnd"/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هذا ف</w:t>
      </w:r>
      <w:r w:rsidR="000245C0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إ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ن مصير من يعترض</w:t>
      </w:r>
      <w:r w:rsidR="000245C0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يتم القبض عليه فوراً واقتياده لمكان غير معلوم لدينا</w:t>
      </w:r>
      <w:r w:rsidR="000245C0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، وقد وصل عدد </w:t>
      </w:r>
      <w:r w:rsidR="000245C0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المقبوض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عليهم </w:t>
      </w:r>
      <w:r w:rsidR="000245C0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حتى ا</w:t>
      </w:r>
      <w:r w:rsidR="000245C0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لآ</w:t>
      </w:r>
      <w:r w:rsidR="000245C0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ن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إلي 16 شخص والمعلوم منهم " جمعه </w:t>
      </w:r>
      <w:r w:rsidR="000245C0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السيد،</w:t>
      </w:r>
      <w:r w:rsidR="000245C0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محمد حسين، أحمد حسين "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3C09E4" w:rsidRPr="003C09E4" w:rsidRDefault="000245C0" w:rsidP="000245C0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وتعتبر تلك الممارسات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مخالف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صريحة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لنصو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ص الدستور المصري ( دستور الثورة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في الم</w:t>
      </w:r>
      <w:r w:rsid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ادة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(59) حق المواطن في حيا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ه أمنه وتوفير الأمن و الطمائنينة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.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و المادة (63) والتي تنص على حظر التهجير </w:t>
      </w:r>
      <w:proofErr w:type="spellStart"/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القسري</w:t>
      </w:r>
      <w:proofErr w:type="spellEnd"/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 وكذلك الماد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(78) كفال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الدول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 للحق في السكن الملائم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 والماد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(59) حق المواطن في حيا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آمنة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وتوفير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الآمن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الطمائنينة .</w:t>
      </w:r>
    </w:p>
    <w:p w:rsidR="003C09E4" w:rsidRPr="003C09E4" w:rsidRDefault="00255ADC" w:rsidP="00255ADC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كذلك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انتهاك جسيم 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للعهد الدولي للحقوق الاقتصادية والاجتماعيه والثقافية " الماده 11 فقره 1 أولاً والتعليق العام الرابع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الخاص بمعايير المسكن الملائم</w:t>
      </w:r>
      <w:r w:rsidR="00D12E37"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 والتعليق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عام رقم (7)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على ذات العهد</w:t>
      </w:r>
      <w:r w:rsidR="00D12E37"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والخاص بضوابط عمليات الإخلاء القسرى </w:t>
      </w:r>
      <w:r w:rsidR="003C09E4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3C09E4" w:rsidRPr="003C09E4" w:rsidRDefault="003C09E4" w:rsidP="00255ADC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EG"/>
        </w:rPr>
      </w:pP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ولهذا ف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إ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ن المركز المصري </w:t>
      </w:r>
      <w:r w:rsidR="003D357C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للإصلاح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المدني والتشريعي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يشدد على ضرور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وقف التعامل </w:t>
      </w:r>
      <w:r w:rsidR="00255ADC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الأمني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مع القضايا الاجتماعي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وعلى رأسها عمليات الإخلاء </w:t>
      </w:r>
      <w:proofErr w:type="spellStart"/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القسري</w:t>
      </w:r>
      <w:proofErr w:type="spellEnd"/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المصحوبة 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دائماً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بعمليات عنف </w:t>
      </w:r>
      <w:proofErr w:type="spellStart"/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ممنهج</w:t>
      </w:r>
      <w:proofErr w:type="spellEnd"/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وتوفير بديل ملائم لكل أسر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lastRenderedPageBreak/>
        <w:t>موجودة بالمنطق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وبواقع شق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لكل أسر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،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إ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خلاء سبيل جميع المقبوض عليهم لرفضهم التعامل العنيف مع ال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أ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هالي .</w:t>
      </w:r>
    </w:p>
    <w:p w:rsidR="009269D8" w:rsidRPr="00D12E37" w:rsidRDefault="003C09E4" w:rsidP="00255ADC">
      <w:pPr>
        <w:spacing w:after="200" w:line="276" w:lineRule="auto"/>
        <w:ind w:left="-625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EG"/>
        </w:rPr>
      </w:pP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وفي النهاي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نؤكد على أن ما يحدث هو 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ستمرار للسياسات التي أدت إلي الثورة المصري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ة،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والتي إن استمرت </w:t>
      </w:r>
      <w:r w:rsid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وتكررت </w:t>
      </w:r>
      <w:r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فلننتظر جميع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اً</w:t>
      </w:r>
      <w:r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ثور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 أخرى</w:t>
      </w:r>
      <w:r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55ADC" w:rsidRPr="003C09E4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جدي</w:t>
      </w:r>
      <w:r w:rsidR="00255ADC"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دة</w:t>
      </w:r>
      <w:r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ثور</w:t>
      </w:r>
      <w:r w:rsidR="00255ADC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 xml:space="preserve"> الجياع وسكان </w:t>
      </w:r>
      <w:r w:rsidR="00255ADC"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العشوائيات</w:t>
      </w:r>
      <w:r w:rsidRPr="00D12E37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sectPr w:rsidR="009269D8" w:rsidRPr="00D12E37" w:rsidSect="00E74091">
      <w:footerReference w:type="even" r:id="rId12"/>
      <w:footerReference w:type="default" r:id="rId13"/>
      <w:pgSz w:w="11906" w:h="16838"/>
      <w:pgMar w:top="1440" w:right="200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B5" w:rsidRDefault="000B31B5" w:rsidP="000B31B5">
      <w:r>
        <w:separator/>
      </w:r>
    </w:p>
  </w:endnote>
  <w:endnote w:type="continuationSeparator" w:id="1">
    <w:p w:rsidR="000B31B5" w:rsidRDefault="000B31B5" w:rsidP="000B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7A" w:rsidRDefault="000B31B5" w:rsidP="00FA6DC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12E3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6E7A" w:rsidRDefault="003D357C" w:rsidP="00E231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7A" w:rsidRDefault="000B31B5" w:rsidP="00FA6DC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12E3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D357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06E7A" w:rsidRDefault="003D357C" w:rsidP="00E231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B5" w:rsidRDefault="000B31B5" w:rsidP="000B31B5">
      <w:r>
        <w:separator/>
      </w:r>
    </w:p>
  </w:footnote>
  <w:footnote w:type="continuationSeparator" w:id="1">
    <w:p w:rsidR="000B31B5" w:rsidRDefault="000B31B5" w:rsidP="000B3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4BB"/>
    <w:rsid w:val="000245C0"/>
    <w:rsid w:val="000B31B5"/>
    <w:rsid w:val="00160127"/>
    <w:rsid w:val="00255ADC"/>
    <w:rsid w:val="002C7F7A"/>
    <w:rsid w:val="003C09E4"/>
    <w:rsid w:val="003D357C"/>
    <w:rsid w:val="004754BB"/>
    <w:rsid w:val="006B69CC"/>
    <w:rsid w:val="009269D8"/>
    <w:rsid w:val="009C65C7"/>
    <w:rsid w:val="00CB5AB5"/>
    <w:rsid w:val="00D12E37"/>
    <w:rsid w:val="00F4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CB5AB5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AB5"/>
    <w:pPr>
      <w:bidi w:val="0"/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B5AB5"/>
  </w:style>
  <w:style w:type="character" w:customStyle="1" w:styleId="textexposedshow">
    <w:name w:val="text_exposed_show"/>
    <w:basedOn w:val="DefaultParagraphFont"/>
    <w:rsid w:val="00CB5AB5"/>
  </w:style>
  <w:style w:type="character" w:customStyle="1" w:styleId="Heading4Char">
    <w:name w:val="Heading 4 Char"/>
    <w:basedOn w:val="DefaultParagraphFont"/>
    <w:link w:val="Heading4"/>
    <w:rsid w:val="00CB5A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B5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5A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B5AB5"/>
  </w:style>
  <w:style w:type="character" w:styleId="Hyperlink">
    <w:name w:val="Hyperlink"/>
    <w:rsid w:val="00CB5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CB5AB5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AB5"/>
    <w:pPr>
      <w:bidi w:val="0"/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B5AB5"/>
  </w:style>
  <w:style w:type="character" w:customStyle="1" w:styleId="textexposedshow">
    <w:name w:val="text_exposed_show"/>
    <w:basedOn w:val="DefaultParagraphFont"/>
    <w:rsid w:val="00CB5AB5"/>
  </w:style>
  <w:style w:type="character" w:customStyle="1" w:styleId="Heading4Char">
    <w:name w:val="Heading 4 Char"/>
    <w:basedOn w:val="DefaultParagraphFont"/>
    <w:link w:val="Heading4"/>
    <w:rsid w:val="00CB5A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B5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5A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B5AB5"/>
  </w:style>
  <w:style w:type="character" w:styleId="Hyperlink">
    <w:name w:val="Hyperlink"/>
    <w:rsid w:val="00CB5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The-Egyptian-Association-for-Community-Participation-Enhancement-EACPE/118654331487567?v=photos#!/album.php?aid=28268&amp;id=11865433148756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cclr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twitpic.com/e/l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ecclr</dc:creator>
  <cp:lastModifiedBy>Ahmed Mansour</cp:lastModifiedBy>
  <cp:revision>7</cp:revision>
  <cp:lastPrinted>2014-02-18T12:25:00Z</cp:lastPrinted>
  <dcterms:created xsi:type="dcterms:W3CDTF">2014-02-18T13:51:00Z</dcterms:created>
  <dcterms:modified xsi:type="dcterms:W3CDTF">2014-02-18T14:07:00Z</dcterms:modified>
</cp:coreProperties>
</file>